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AFFF" w14:textId="403FFF1F" w:rsidR="006A4B80" w:rsidRDefault="006A4B80" w:rsidP="006A4B80">
      <w:r>
        <w:t xml:space="preserve">Communiqué de presse </w:t>
      </w:r>
      <w:r w:rsidR="00E34E22">
        <w:t xml:space="preserve">du </w:t>
      </w:r>
      <w:r>
        <w:t>Groupement citoyen pour un PSEM durable</w:t>
      </w:r>
      <w:r w:rsidR="00E34E22">
        <w:t xml:space="preserve"> – </w:t>
      </w:r>
      <w:r w:rsidR="00D138BA">
        <w:t>1</w:t>
      </w:r>
      <w:r w:rsidR="002D599D">
        <w:t>9</w:t>
      </w:r>
      <w:r w:rsidR="00DB3ABB">
        <w:t xml:space="preserve"> </w:t>
      </w:r>
      <w:r w:rsidR="00D138BA">
        <w:t>mai</w:t>
      </w:r>
      <w:r w:rsidR="00E34E22">
        <w:t xml:space="preserve"> 202</w:t>
      </w:r>
      <w:r w:rsidR="00D138BA">
        <w:t>6</w:t>
      </w:r>
    </w:p>
    <w:p w14:paraId="1D9B9398" w14:textId="7D45DF29" w:rsidR="006A4B80" w:rsidRPr="005E63E7" w:rsidRDefault="00D138BA" w:rsidP="006A4B80">
      <w:pPr>
        <w:rPr>
          <w:b/>
          <w:sz w:val="24"/>
          <w:szCs w:val="24"/>
        </w:rPr>
      </w:pPr>
      <w:r>
        <w:rPr>
          <w:b/>
          <w:sz w:val="24"/>
          <w:szCs w:val="24"/>
        </w:rPr>
        <w:t>Reconnaissance d’une</w:t>
      </w:r>
      <w:r w:rsidR="00E34E22" w:rsidRPr="005E63E7">
        <w:rPr>
          <w:b/>
          <w:sz w:val="24"/>
          <w:szCs w:val="24"/>
        </w:rPr>
        <w:t xml:space="preserve"> </w:t>
      </w:r>
      <w:r w:rsidR="00530A94">
        <w:rPr>
          <w:b/>
          <w:sz w:val="24"/>
          <w:szCs w:val="24"/>
        </w:rPr>
        <w:t xml:space="preserve">distance de </w:t>
      </w:r>
      <w:r w:rsidR="00DC41F9">
        <w:rPr>
          <w:b/>
          <w:sz w:val="24"/>
          <w:szCs w:val="24"/>
        </w:rPr>
        <w:t xml:space="preserve">principe de </w:t>
      </w:r>
      <w:r w:rsidR="00E34E22" w:rsidRPr="005E63E7">
        <w:rPr>
          <w:b/>
          <w:sz w:val="24"/>
          <w:szCs w:val="24"/>
        </w:rPr>
        <w:t xml:space="preserve">200 m </w:t>
      </w:r>
      <w:r w:rsidR="006A4B80" w:rsidRPr="005E63E7">
        <w:rPr>
          <w:b/>
          <w:sz w:val="24"/>
          <w:szCs w:val="24"/>
        </w:rPr>
        <w:t>entre les zones à bâtir et les gravières</w:t>
      </w:r>
    </w:p>
    <w:p w14:paraId="511C4FFA" w14:textId="0CBC22D5" w:rsidR="00DB3ABB" w:rsidRPr="00DB3ABB" w:rsidRDefault="003554CC" w:rsidP="006A4B80">
      <w:pPr>
        <w:rPr>
          <w:i/>
          <w:iCs/>
        </w:rPr>
      </w:pPr>
      <w:r>
        <w:rPr>
          <w:i/>
          <w:iCs/>
        </w:rPr>
        <w:t>En</w:t>
      </w:r>
      <w:r w:rsidR="00B14EF8">
        <w:rPr>
          <w:i/>
          <w:iCs/>
        </w:rPr>
        <w:t xml:space="preserve"> décembre</w:t>
      </w:r>
      <w:r w:rsidR="00D138BA">
        <w:rPr>
          <w:i/>
          <w:iCs/>
        </w:rPr>
        <w:t xml:space="preserve"> 2025</w:t>
      </w:r>
      <w:r w:rsidR="00DB3ABB" w:rsidRPr="00DB3ABB">
        <w:rPr>
          <w:i/>
          <w:iCs/>
        </w:rPr>
        <w:t xml:space="preserve">, le Groupement citoyen PSEM durable a </w:t>
      </w:r>
      <w:r w:rsidR="00B14EF8">
        <w:rPr>
          <w:i/>
          <w:iCs/>
        </w:rPr>
        <w:t>dépos</w:t>
      </w:r>
      <w:r w:rsidR="00DB3ABB" w:rsidRPr="00DB3ABB">
        <w:rPr>
          <w:i/>
          <w:iCs/>
        </w:rPr>
        <w:t xml:space="preserve">é une motion populaire au Grand Conseil </w:t>
      </w:r>
      <w:r>
        <w:rPr>
          <w:i/>
          <w:iCs/>
        </w:rPr>
        <w:t xml:space="preserve">en vue d’inscrire dans la </w:t>
      </w:r>
      <w:proofErr w:type="spellStart"/>
      <w:r>
        <w:rPr>
          <w:i/>
          <w:iCs/>
        </w:rPr>
        <w:t>LATeC</w:t>
      </w:r>
      <w:proofErr w:type="spellEnd"/>
      <w:r>
        <w:rPr>
          <w:i/>
          <w:iCs/>
        </w:rPr>
        <w:t xml:space="preserve"> </w:t>
      </w:r>
      <w:r w:rsidR="00DC41F9">
        <w:rPr>
          <w:i/>
          <w:iCs/>
        </w:rPr>
        <w:t xml:space="preserve">le principe </w:t>
      </w:r>
      <w:r>
        <w:rPr>
          <w:i/>
          <w:iCs/>
        </w:rPr>
        <w:t>d’</w:t>
      </w:r>
      <w:r w:rsidR="00DB3ABB" w:rsidRPr="00DB3ABB">
        <w:rPr>
          <w:i/>
          <w:iCs/>
        </w:rPr>
        <w:t>une distance minimale de 200 mètres entre les zones à bâtir et les gravières.</w:t>
      </w:r>
      <w:r w:rsidR="00FE763C">
        <w:rPr>
          <w:i/>
          <w:iCs/>
        </w:rPr>
        <w:t xml:space="preserve"> Le Grand Conseil est invité à accepter cette motion. </w:t>
      </w:r>
      <w:r>
        <w:rPr>
          <w:i/>
          <w:iCs/>
        </w:rPr>
        <w:t xml:space="preserve">Cette distance correspond à </w:t>
      </w:r>
      <w:r w:rsidR="00FE763C">
        <w:rPr>
          <w:i/>
          <w:iCs/>
        </w:rPr>
        <w:t xml:space="preserve">la pratique </w:t>
      </w:r>
      <w:r w:rsidR="00DC41F9">
        <w:rPr>
          <w:i/>
          <w:iCs/>
        </w:rPr>
        <w:t xml:space="preserve">dans le canton </w:t>
      </w:r>
      <w:r w:rsidR="00B37BAB">
        <w:rPr>
          <w:i/>
          <w:iCs/>
        </w:rPr>
        <w:t xml:space="preserve">de Fribourg </w:t>
      </w:r>
      <w:r w:rsidR="00FE763C">
        <w:rPr>
          <w:i/>
          <w:iCs/>
        </w:rPr>
        <w:t xml:space="preserve">et </w:t>
      </w:r>
      <w:r w:rsidR="00DC41F9">
        <w:rPr>
          <w:i/>
          <w:iCs/>
        </w:rPr>
        <w:t xml:space="preserve">à </w:t>
      </w:r>
      <w:r w:rsidR="00FE763C">
        <w:rPr>
          <w:i/>
          <w:iCs/>
        </w:rPr>
        <w:t>la jurisprudence</w:t>
      </w:r>
      <w:r w:rsidR="00DC41F9">
        <w:rPr>
          <w:i/>
          <w:iCs/>
        </w:rPr>
        <w:t xml:space="preserve"> du Tribunal fédéral</w:t>
      </w:r>
      <w:r w:rsidR="00FE763C">
        <w:rPr>
          <w:i/>
          <w:iCs/>
        </w:rPr>
        <w:t>,</w:t>
      </w:r>
      <w:r>
        <w:rPr>
          <w:i/>
          <w:iCs/>
        </w:rPr>
        <w:t xml:space="preserve"> et son inscription facilitera grandement la mise en œuvre du </w:t>
      </w:r>
      <w:r w:rsidR="00DC41F9">
        <w:rPr>
          <w:i/>
          <w:iCs/>
        </w:rPr>
        <w:t>Plan Sectoriel d’Exploitation des Matériaux (</w:t>
      </w:r>
      <w:r>
        <w:rPr>
          <w:i/>
          <w:iCs/>
        </w:rPr>
        <w:t>PSEM</w:t>
      </w:r>
      <w:r w:rsidR="00DC41F9">
        <w:rPr>
          <w:i/>
          <w:iCs/>
        </w:rPr>
        <w:t>)</w:t>
      </w:r>
      <w:r>
        <w:rPr>
          <w:i/>
          <w:iCs/>
        </w:rPr>
        <w:t xml:space="preserve">. Elle améliore aussi les chances du futur Conseil d’Etat de corriger les </w:t>
      </w:r>
      <w:r w:rsidR="00DC41F9">
        <w:rPr>
          <w:i/>
          <w:iCs/>
        </w:rPr>
        <w:t>nombreuses erreurs qui entachent le projet actuel de planification des gravières.</w:t>
      </w:r>
    </w:p>
    <w:p w14:paraId="7DC2BA91" w14:textId="1C8C4ABA" w:rsidR="00DB3ABB" w:rsidRDefault="00DB3ABB" w:rsidP="006A4B80">
      <w:r>
        <w:t xml:space="preserve">Le Groupement citoyen pour un PSEM durable a pour objectif de </w:t>
      </w:r>
      <w:r w:rsidRPr="00E34E22">
        <w:t xml:space="preserve">relancer le dialogue </w:t>
      </w:r>
      <w:r w:rsidRPr="00B37BAB">
        <w:t xml:space="preserve">pour un </w:t>
      </w:r>
      <w:r w:rsidR="00B37BAB" w:rsidRPr="00B37BAB">
        <w:t>Plan Sectoriel d’Exploitation des Matériaux (PSEM)</w:t>
      </w:r>
      <w:r w:rsidR="00B37BAB" w:rsidRPr="00B37BAB">
        <w:t xml:space="preserve"> </w:t>
      </w:r>
      <w:r w:rsidRPr="00B37BAB">
        <w:t>durable entre les autorités cantonales et communales, les citoyennes et citoyens, les exploitants et l’ensemble des parties prenantes. Il s’est créé</w:t>
      </w:r>
      <w:r>
        <w:t xml:space="preserve"> </w:t>
      </w:r>
      <w:r w:rsidR="00530A94">
        <w:t>en réaction</w:t>
      </w:r>
      <w:r>
        <w:t xml:space="preserve"> aux</w:t>
      </w:r>
      <w:r w:rsidRPr="00DB3ABB">
        <w:t xml:space="preserve"> nombreuses lacunes et incohérences</w:t>
      </w:r>
      <w:r>
        <w:t xml:space="preserve"> constatées </w:t>
      </w:r>
      <w:r w:rsidR="00DC41F9">
        <w:t>lors</w:t>
      </w:r>
      <w:r>
        <w:t xml:space="preserve"> de la consultation relative au projet de PSEM 2024</w:t>
      </w:r>
      <w:r w:rsidR="00DC41F9">
        <w:t xml:space="preserve"> qui demeurent dans la version actuelle</w:t>
      </w:r>
      <w:r w:rsidR="009F4844">
        <w:t xml:space="preserve"> (</w:t>
      </w:r>
      <w:r w:rsidR="009F4844" w:rsidRPr="00B37BAB">
        <w:rPr>
          <w:highlight w:val="yellow"/>
        </w:rPr>
        <w:t xml:space="preserve">voir </w:t>
      </w:r>
      <w:r w:rsidR="00B37BAB" w:rsidRPr="00B37BAB">
        <w:rPr>
          <w:highlight w:val="yellow"/>
        </w:rPr>
        <w:t>Rapport d’</w:t>
      </w:r>
      <w:proofErr w:type="spellStart"/>
      <w:r w:rsidR="00B37BAB" w:rsidRPr="00B37BAB">
        <w:rPr>
          <w:highlight w:val="yellow"/>
        </w:rPr>
        <w:t>Assquavie</w:t>
      </w:r>
      <w:proofErr w:type="spellEnd"/>
      <w:r w:rsidR="00B37BAB" w:rsidRPr="00B37BAB">
        <w:rPr>
          <w:highlight w:val="yellow"/>
        </w:rPr>
        <w:t xml:space="preserve"> du … mai 2026) [mettre le lien]</w:t>
      </w:r>
      <w:r w:rsidR="00DC41F9" w:rsidRPr="00B37BAB">
        <w:rPr>
          <w:highlight w:val="yellow"/>
        </w:rPr>
        <w:t>.</w:t>
      </w:r>
    </w:p>
    <w:p w14:paraId="48AE96EC" w14:textId="08135035" w:rsidR="00DB3ABB" w:rsidRDefault="00DC41F9" w:rsidP="00530A94">
      <w:r>
        <w:t xml:space="preserve">Dans ce but, il a déposé </w:t>
      </w:r>
      <w:r w:rsidR="00FA6159">
        <w:t xml:space="preserve">en décembre 2025 </w:t>
      </w:r>
      <w:r>
        <w:t xml:space="preserve">une </w:t>
      </w:r>
      <w:r w:rsidR="00DB3ABB" w:rsidRPr="001039C4">
        <w:rPr>
          <w:b/>
          <w:bCs/>
        </w:rPr>
        <w:t>motion populaire</w:t>
      </w:r>
      <w:r>
        <w:t xml:space="preserve">, munie de 1167 signatures validées, </w:t>
      </w:r>
      <w:r w:rsidR="00DB3ABB" w:rsidRPr="00DB3ABB">
        <w:t xml:space="preserve">au Grand Conseil fribourgeois. Celle-ci exige que la loi </w:t>
      </w:r>
      <w:r w:rsidRPr="00530A94">
        <w:t>sur l’aménagement du territoire et les constructions (</w:t>
      </w:r>
      <w:proofErr w:type="spellStart"/>
      <w:r w:rsidRPr="00530A94">
        <w:t>LATeC</w:t>
      </w:r>
      <w:proofErr w:type="spellEnd"/>
      <w:r w:rsidRPr="00530A94">
        <w:t>)</w:t>
      </w:r>
      <w:r>
        <w:t xml:space="preserve"> consacr</w:t>
      </w:r>
      <w:r w:rsidR="00DB3ABB" w:rsidRPr="00DB3ABB">
        <w:t xml:space="preserve">e </w:t>
      </w:r>
      <w:r>
        <w:t>le principe d’</w:t>
      </w:r>
      <w:r w:rsidR="00DB3ABB" w:rsidRPr="00DB3ABB">
        <w:t>une distance minimale de 200 mètres entre les zones à bâtir et les gravières.</w:t>
      </w:r>
      <w:r>
        <w:t xml:space="preserve"> </w:t>
      </w:r>
      <w:r w:rsidR="00DB3ABB">
        <w:t xml:space="preserve">Le Groupement demande au Grand Conseil </w:t>
      </w:r>
      <w:r w:rsidR="00530A94">
        <w:t>d</w:t>
      </w:r>
      <w:r w:rsidR="00530A94" w:rsidRPr="000E3DEB">
        <w:rPr>
          <w:b/>
          <w:bCs/>
        </w:rPr>
        <w:t>’</w:t>
      </w:r>
      <w:r w:rsidR="00DB3ABB">
        <w:t>accepter cette motion populaire</w:t>
      </w:r>
      <w:r w:rsidR="00FA6159">
        <w:t>.</w:t>
      </w:r>
    </w:p>
    <w:p w14:paraId="01D79BB6" w14:textId="1FE95643" w:rsidR="004B72EE" w:rsidRDefault="003950A8" w:rsidP="002032B8">
      <w:r>
        <w:t xml:space="preserve">La disposition proposée est conforme à double titre avec la jurisprudence du Tribunal fédéral. </w:t>
      </w:r>
      <w:r w:rsidR="002032B8">
        <w:t>D’abord</w:t>
      </w:r>
      <w:r>
        <w:t xml:space="preserve">, </w:t>
      </w:r>
      <w:r w:rsidR="00E72D20">
        <w:t>le</w:t>
      </w:r>
      <w:r>
        <w:t xml:space="preserve"> </w:t>
      </w:r>
      <w:r w:rsidRPr="003950A8">
        <w:t>TF</w:t>
      </w:r>
      <w:r>
        <w:t xml:space="preserve"> </w:t>
      </w:r>
      <w:r w:rsidR="00E72D20">
        <w:t xml:space="preserve">a </w:t>
      </w:r>
      <w:r w:rsidR="002032B8">
        <w:t xml:space="preserve">déjà </w:t>
      </w:r>
      <w:r>
        <w:t>établi</w:t>
      </w:r>
      <w:r w:rsidR="00E72D20">
        <w:t xml:space="preserve"> dans un arrêt du 8 septembre 2021</w:t>
      </w:r>
      <w:r>
        <w:t xml:space="preserve"> </w:t>
      </w:r>
      <w:r w:rsidR="00E72D20">
        <w:t>qu’</w:t>
      </w:r>
      <w:r w:rsidRPr="003950A8">
        <w:t xml:space="preserve">une distance de 200 m répond </w:t>
      </w:r>
      <w:r w:rsidR="00E72D20">
        <w:t xml:space="preserve">effectivement </w:t>
      </w:r>
      <w:r w:rsidRPr="003950A8">
        <w:t xml:space="preserve">aux exigences de l’OFEV, </w:t>
      </w:r>
      <w:r w:rsidRPr="000E3DEB">
        <w:t>en fonction de l’axe des vents et si aucun traitement des matériaux n’est prévu sur le lieu de l’excavation</w:t>
      </w:r>
      <w:r>
        <w:t xml:space="preserve">. </w:t>
      </w:r>
      <w:r w:rsidR="002032B8">
        <w:t>Ensuite</w:t>
      </w:r>
      <w:r>
        <w:t>,</w:t>
      </w:r>
      <w:r w:rsidR="00E72D20">
        <w:t xml:space="preserve"> la révision proposée de la </w:t>
      </w:r>
      <w:proofErr w:type="spellStart"/>
      <w:r w:rsidR="00E72D20">
        <w:t>LATeC</w:t>
      </w:r>
      <w:proofErr w:type="spellEnd"/>
      <w:r w:rsidR="00E72D20">
        <w:t xml:space="preserve"> est </w:t>
      </w:r>
      <w:r w:rsidR="002032B8">
        <w:t xml:space="preserve">aussi </w:t>
      </w:r>
      <w:r w:rsidR="00E72D20">
        <w:t>compatible avec l’arrêt du 31 décembre 2025 du TF cité par le Conseil d’Etat</w:t>
      </w:r>
      <w:r w:rsidR="00B37BAB">
        <w:t xml:space="preserve"> dans son avis sur la motion déposée</w:t>
      </w:r>
      <w:r w:rsidR="00E72D20">
        <w:t>.</w:t>
      </w:r>
    </w:p>
    <w:p w14:paraId="63031B31" w14:textId="1C7EA62F" w:rsidR="002032B8" w:rsidRDefault="00B37BAB" w:rsidP="002032B8">
      <w:r>
        <w:t>L</w:t>
      </w:r>
      <w:r w:rsidR="00E72D20">
        <w:t xml:space="preserve">’initiative genevoise </w:t>
      </w:r>
      <w:r>
        <w:t>invalidée</w:t>
      </w:r>
      <w:r w:rsidR="00E72D20">
        <w:t xml:space="preserve"> prévoyait une distance incompressible</w:t>
      </w:r>
      <w:r w:rsidR="002032B8">
        <w:t xml:space="preserve"> de 300 m</w:t>
      </w:r>
      <w:r w:rsidR="004B72EE">
        <w:t xml:space="preserve"> entre les zones d’habitation et les gravières</w:t>
      </w:r>
      <w:r w:rsidR="00E72D20">
        <w:t xml:space="preserve">. Le TF a estimé que cela violait la loi fédérale sur la protection de l’environnement et le principe de répartition des compétences entre la Confédération et les cantons. </w:t>
      </w:r>
      <w:r w:rsidR="002032B8">
        <w:t xml:space="preserve">La motion populaire déposée se distingue clairement de l’initiative </w:t>
      </w:r>
      <w:r w:rsidR="004B72EE">
        <w:t>genevoise</w:t>
      </w:r>
      <w:r w:rsidR="000E3DEB">
        <w:t xml:space="preserve"> mise en cause</w:t>
      </w:r>
      <w:r w:rsidR="002032B8">
        <w:t xml:space="preserve">. Elle vise à introduire dans la loi une distance </w:t>
      </w:r>
      <w:r w:rsidR="002032B8" w:rsidRPr="000E3DEB">
        <w:rPr>
          <w:u w:val="single"/>
        </w:rPr>
        <w:t>de principe</w:t>
      </w:r>
      <w:r w:rsidR="002032B8">
        <w:t xml:space="preserve"> de 200 m </w:t>
      </w:r>
      <w:r w:rsidR="000E3DEB">
        <w:t xml:space="preserve">entre </w:t>
      </w:r>
      <w:r w:rsidR="000E3DEB" w:rsidRPr="000E3DEB">
        <w:t>zones à bâtir</w:t>
      </w:r>
      <w:r w:rsidR="000E3DEB">
        <w:t xml:space="preserve"> et gravières </w:t>
      </w:r>
      <w:r>
        <w:t xml:space="preserve">tout </w:t>
      </w:r>
      <w:r w:rsidR="002032B8">
        <w:t>en prévoyant explicitement que « </w:t>
      </w:r>
      <w:r w:rsidR="002032B8" w:rsidRPr="002032B8">
        <w:rPr>
          <w:i/>
          <w:iCs/>
          <w:lang w:val="fr-FR"/>
        </w:rPr>
        <w:t>cette distance peut être réduite si les lieux d'habitations sont préservés au mieux des nuisances générées par l'exploitation</w:t>
      </w:r>
      <w:r w:rsidR="002032B8">
        <w:rPr>
          <w:lang w:val="fr-FR"/>
        </w:rPr>
        <w:t xml:space="preserve"> ». </w:t>
      </w:r>
      <w:r w:rsidR="004B72EE">
        <w:rPr>
          <w:lang w:val="fr-FR"/>
        </w:rPr>
        <w:t xml:space="preserve">Pour paraphraser l’avis du Conseil d’Etat concernant la motion populaire : </w:t>
      </w:r>
      <w:r w:rsidR="004B72EE" w:rsidRPr="004B72EE">
        <w:t xml:space="preserve">l’introduction dans la loi cantonale d’une valeur </w:t>
      </w:r>
      <w:r w:rsidR="004B72EE" w:rsidRPr="004B72EE">
        <w:rPr>
          <w:u w:val="single"/>
        </w:rPr>
        <w:t>de principe</w:t>
      </w:r>
      <w:r w:rsidR="004B72EE" w:rsidRPr="004B72EE">
        <w:t xml:space="preserve"> pour la distance minimale à respecter visant tout le territoire cantonal </w:t>
      </w:r>
      <w:r w:rsidR="004B72EE" w:rsidRPr="004B72EE">
        <w:rPr>
          <w:u w:val="single"/>
        </w:rPr>
        <w:t>avec</w:t>
      </w:r>
      <w:r w:rsidR="004B72EE" w:rsidRPr="004B72EE">
        <w:t xml:space="preserve"> la possibilité de procéder à une pesée des intérêts en présence pour un endroit particulier </w:t>
      </w:r>
      <w:r w:rsidR="004B72EE" w:rsidRPr="004B72EE">
        <w:rPr>
          <w:u w:val="single"/>
        </w:rPr>
        <w:t xml:space="preserve">respecte </w:t>
      </w:r>
      <w:r w:rsidR="004B72EE" w:rsidRPr="004B72EE">
        <w:t xml:space="preserve">le principe de la prévention au sens de l’art. 11 al. 2 LPE, de sorte qu’une telle modification de la loi cantonale </w:t>
      </w:r>
      <w:r w:rsidR="004B72EE" w:rsidRPr="004B72EE">
        <w:rPr>
          <w:u w:val="single"/>
        </w:rPr>
        <w:t>est co</w:t>
      </w:r>
      <w:r w:rsidR="004B72EE">
        <w:rPr>
          <w:u w:val="single"/>
        </w:rPr>
        <w:t>nform</w:t>
      </w:r>
      <w:r w:rsidR="004B72EE" w:rsidRPr="004B72EE">
        <w:rPr>
          <w:u w:val="single"/>
        </w:rPr>
        <w:t>e</w:t>
      </w:r>
      <w:r w:rsidR="004B72EE">
        <w:t xml:space="preserve"> avec le</w:t>
      </w:r>
      <w:r w:rsidR="004B72EE" w:rsidRPr="004B72EE">
        <w:t xml:space="preserve"> droit supérieur.</w:t>
      </w:r>
      <w:r w:rsidR="004B72EE">
        <w:t xml:space="preserve"> C’est d’ailleurs la </w:t>
      </w:r>
      <w:r w:rsidR="000E3DEB">
        <w:t>position du</w:t>
      </w:r>
      <w:r w:rsidR="004B72EE">
        <w:t xml:space="preserve"> Conseil d’Etat </w:t>
      </w:r>
      <w:r w:rsidR="000E3DEB">
        <w:t xml:space="preserve">qui a </w:t>
      </w:r>
      <w:r w:rsidR="004B72EE">
        <w:t xml:space="preserve">lui-même </w:t>
      </w:r>
      <w:r w:rsidR="000E3DEB">
        <w:t>fixer</w:t>
      </w:r>
      <w:r w:rsidR="004B72EE">
        <w:t xml:space="preserve"> une distance de 100 m dans son message relatif à la révision de la </w:t>
      </w:r>
      <w:proofErr w:type="spellStart"/>
      <w:r w:rsidR="004B72EE">
        <w:t>LATeC</w:t>
      </w:r>
      <w:proofErr w:type="spellEnd"/>
      <w:r w:rsidR="004B72EE">
        <w:t>, distance appliqué</w:t>
      </w:r>
      <w:r>
        <w:t>e</w:t>
      </w:r>
      <w:r w:rsidR="004B72EE">
        <w:t xml:space="preserve"> </w:t>
      </w:r>
      <w:r w:rsidR="004B72EE" w:rsidRPr="004B72EE">
        <w:rPr>
          <w:u w:val="single"/>
        </w:rPr>
        <w:t>par principe</w:t>
      </w:r>
      <w:r w:rsidR="004B72EE">
        <w:t xml:space="preserve"> dans le PSEM 2026.</w:t>
      </w:r>
    </w:p>
    <w:p w14:paraId="76CA858F" w14:textId="41DBC364" w:rsidR="000E3DEB" w:rsidRPr="000E3DEB" w:rsidRDefault="000E3DEB" w:rsidP="000E3DEB">
      <w:r>
        <w:t>I</w:t>
      </w:r>
      <w:r w:rsidRPr="000E3DEB">
        <w:t xml:space="preserve">l est </w:t>
      </w:r>
      <w:r>
        <w:t xml:space="preserve">d’ailleurs </w:t>
      </w:r>
      <w:r w:rsidRPr="000E3DEB">
        <w:t>piquant de constater que l’analyse des exploitations en cours démontre que la distance de 200 mètres</w:t>
      </w:r>
      <w:r>
        <w:t xml:space="preserve"> ou</w:t>
      </w:r>
      <w:r w:rsidRPr="000E3DEB">
        <w:t xml:space="preserve"> plus</w:t>
      </w:r>
      <w:r>
        <w:t xml:space="preserve"> entre zones </w:t>
      </w:r>
      <w:r w:rsidRPr="00B37BAB">
        <w:t>à bâtir</w:t>
      </w:r>
      <w:r>
        <w:t xml:space="preserve"> et gravières </w:t>
      </w:r>
      <w:r w:rsidRPr="000E3DEB">
        <w:t xml:space="preserve">est </w:t>
      </w:r>
      <w:r>
        <w:t xml:space="preserve">déjà </w:t>
      </w:r>
      <w:r w:rsidRPr="000E3DEB">
        <w:t>respectée dans la très large majorité des exploitations actuelles.</w:t>
      </w:r>
      <w:r>
        <w:t xml:space="preserve"> </w:t>
      </w:r>
      <w:r w:rsidRPr="000E3DEB">
        <w:t xml:space="preserve">En effet, </w:t>
      </w:r>
      <w:r w:rsidR="0071076E">
        <w:t xml:space="preserve">il ressort </w:t>
      </w:r>
      <w:hyperlink r:id="rId7" w:history="1">
        <w:r w:rsidR="0071076E" w:rsidRPr="0071076E">
          <w:rPr>
            <w:rStyle w:val="Lienhypertexte"/>
          </w:rPr>
          <w:t>d</w:t>
        </w:r>
        <w:r w:rsidRPr="0071076E">
          <w:rPr>
            <w:rStyle w:val="Lienhypertexte"/>
          </w:rPr>
          <w:t>es chiffres disp</w:t>
        </w:r>
        <w:r w:rsidRPr="0071076E">
          <w:rPr>
            <w:rStyle w:val="Lienhypertexte"/>
          </w:rPr>
          <w:t>o</w:t>
        </w:r>
        <w:r w:rsidRPr="0071076E">
          <w:rPr>
            <w:rStyle w:val="Lienhypertexte"/>
          </w:rPr>
          <w:t>nibles sur le portail cartographique du Canton de Fribourg</w:t>
        </w:r>
      </w:hyperlink>
      <w:r w:rsidR="0071076E">
        <w:t xml:space="preserve"> </w:t>
      </w:r>
      <w:r w:rsidRPr="000E3DEB">
        <w:t>que :</w:t>
      </w:r>
    </w:p>
    <w:p w14:paraId="3BAB2BF1" w14:textId="77777777" w:rsidR="00B37BAB" w:rsidRPr="00B37BAB" w:rsidRDefault="00B37BAB" w:rsidP="000E3DEB">
      <w:pPr>
        <w:pStyle w:val="Paragraphedeliste"/>
        <w:numPr>
          <w:ilvl w:val="0"/>
          <w:numId w:val="5"/>
        </w:numPr>
        <w:tabs>
          <w:tab w:val="num" w:pos="993"/>
        </w:tabs>
        <w:rPr>
          <w:rFonts w:cstheme="minorHAnsi"/>
        </w:rPr>
      </w:pPr>
      <w:r w:rsidRPr="000E3DEB">
        <w:lastRenderedPageBreak/>
        <w:t>79% des zones exploitées se situent actuellement à plus de 200 m des zones d’habitation</w:t>
      </w:r>
      <w:r>
        <w:t>.</w:t>
      </w:r>
    </w:p>
    <w:p w14:paraId="5272A719" w14:textId="67513FAB" w:rsidR="000E3DEB" w:rsidRPr="0071076E" w:rsidRDefault="000E3DEB" w:rsidP="000E3DEB">
      <w:pPr>
        <w:pStyle w:val="Paragraphedeliste"/>
        <w:numPr>
          <w:ilvl w:val="0"/>
          <w:numId w:val="5"/>
        </w:numPr>
        <w:tabs>
          <w:tab w:val="num" w:pos="993"/>
        </w:tabs>
        <w:rPr>
          <w:rFonts w:cstheme="minorHAnsi"/>
        </w:rPr>
      </w:pPr>
      <w:proofErr w:type="gramStart"/>
      <w:r w:rsidRPr="000E3DEB">
        <w:t>sur</w:t>
      </w:r>
      <w:proofErr w:type="gramEnd"/>
      <w:r w:rsidRPr="000E3DEB">
        <w:t xml:space="preserve"> les 95 exploitations de la couche « Affectations primaires (RDPPF) », seules 20 sont située à moins de 200 m et, le plus souvent, la zone d’habitation concernée est petite</w:t>
      </w:r>
      <w:r w:rsidR="0071076E">
        <w:t xml:space="preserve"> </w:t>
      </w:r>
      <w:r w:rsidR="0071076E" w:rsidRPr="0071076E">
        <w:rPr>
          <w:rFonts w:cstheme="minorHAnsi"/>
        </w:rPr>
        <w:t>(en rouge sur le portail cartographique)</w:t>
      </w:r>
      <w:r w:rsidRPr="0071076E">
        <w:rPr>
          <w:rFonts w:cstheme="minorHAnsi"/>
        </w:rPr>
        <w:t>.</w:t>
      </w:r>
    </w:p>
    <w:p w14:paraId="63E06655" w14:textId="77777777" w:rsidR="000E3DEB" w:rsidRPr="000E3DEB" w:rsidRDefault="000E3DEB" w:rsidP="000E3DEB">
      <w:pPr>
        <w:pStyle w:val="Paragraphedeliste"/>
        <w:numPr>
          <w:ilvl w:val="0"/>
          <w:numId w:val="5"/>
        </w:numPr>
        <w:tabs>
          <w:tab w:val="num" w:pos="993"/>
        </w:tabs>
      </w:pPr>
      <w:r w:rsidRPr="000E3DEB">
        <w:t>Le respect d’une distance de 200 m sur tous les sites engendrerait une perte de surface des zones exploitables qui peut être estimée à 5% du total.</w:t>
      </w:r>
    </w:p>
    <w:p w14:paraId="7235A17E" w14:textId="3827A7E0" w:rsidR="000E3DEB" w:rsidRPr="000E3DEB" w:rsidRDefault="0071076E" w:rsidP="000E3DEB">
      <w:pPr>
        <w:rPr>
          <w:rFonts w:eastAsia="Times New Roman" w:cstheme="minorHAnsi"/>
          <w:color w:val="000000" w:themeColor="text1"/>
          <w:lang w:eastAsia="fr-FR"/>
        </w:rPr>
      </w:pPr>
      <w:r>
        <w:rPr>
          <w:rFonts w:eastAsia="Times New Roman" w:cstheme="minorHAnsi"/>
          <w:color w:val="000000" w:themeColor="text1"/>
          <w:lang w:eastAsia="fr-FR"/>
        </w:rPr>
        <w:t>L</w:t>
      </w:r>
      <w:r w:rsidR="000E3DEB" w:rsidRPr="000E3DEB">
        <w:rPr>
          <w:rFonts w:eastAsia="Times New Roman" w:cstheme="minorHAnsi"/>
          <w:color w:val="000000" w:themeColor="text1"/>
          <w:lang w:eastAsia="fr-FR"/>
        </w:rPr>
        <w:t xml:space="preserve">a pratique actuelle serait </w:t>
      </w:r>
      <w:r>
        <w:rPr>
          <w:rFonts w:eastAsia="Times New Roman" w:cstheme="minorHAnsi"/>
          <w:color w:val="000000" w:themeColor="text1"/>
          <w:lang w:eastAsia="fr-FR"/>
        </w:rPr>
        <w:t xml:space="preserve">ainsi </w:t>
      </w:r>
      <w:r w:rsidR="000E3DEB" w:rsidRPr="000E3DEB">
        <w:rPr>
          <w:rFonts w:eastAsia="Times New Roman" w:cstheme="minorHAnsi"/>
          <w:color w:val="000000" w:themeColor="text1"/>
          <w:lang w:eastAsia="fr-FR"/>
        </w:rPr>
        <w:t xml:space="preserve">peu impactée par une limite </w:t>
      </w:r>
      <w:r w:rsidR="000E3DEB">
        <w:rPr>
          <w:rFonts w:eastAsia="Times New Roman" w:cstheme="minorHAnsi"/>
          <w:color w:val="000000" w:themeColor="text1"/>
          <w:lang w:eastAsia="fr-FR"/>
        </w:rPr>
        <w:t xml:space="preserve">de principe </w:t>
      </w:r>
      <w:r w:rsidR="000E3DEB" w:rsidRPr="000E3DEB">
        <w:rPr>
          <w:rFonts w:eastAsia="Times New Roman" w:cstheme="minorHAnsi"/>
          <w:color w:val="000000" w:themeColor="text1"/>
          <w:lang w:eastAsia="fr-FR"/>
        </w:rPr>
        <w:t>de 200</w:t>
      </w:r>
      <w:r>
        <w:rPr>
          <w:rFonts w:eastAsia="Times New Roman" w:cstheme="minorHAnsi"/>
          <w:color w:val="000000" w:themeColor="text1"/>
          <w:lang w:eastAsia="fr-FR"/>
        </w:rPr>
        <w:t xml:space="preserve"> </w:t>
      </w:r>
      <w:r w:rsidR="000E3DEB" w:rsidRPr="000E3DEB">
        <w:rPr>
          <w:rFonts w:eastAsia="Times New Roman" w:cstheme="minorHAnsi"/>
          <w:color w:val="000000" w:themeColor="text1"/>
          <w:lang w:eastAsia="fr-FR"/>
        </w:rPr>
        <w:t xml:space="preserve">m. </w:t>
      </w:r>
      <w:r>
        <w:rPr>
          <w:rFonts w:eastAsia="Times New Roman" w:cstheme="minorHAnsi"/>
          <w:color w:val="000000" w:themeColor="text1"/>
          <w:lang w:eastAsia="fr-FR"/>
        </w:rPr>
        <w:t>U</w:t>
      </w:r>
      <w:r w:rsidR="000E3DEB" w:rsidRPr="000E3DEB">
        <w:rPr>
          <w:rFonts w:eastAsia="Times New Roman" w:cstheme="minorHAnsi"/>
          <w:color w:val="000000" w:themeColor="text1"/>
          <w:lang w:eastAsia="fr-FR"/>
        </w:rPr>
        <w:t xml:space="preserve">ne </w:t>
      </w:r>
      <w:r>
        <w:rPr>
          <w:rFonts w:eastAsia="Times New Roman" w:cstheme="minorHAnsi"/>
          <w:color w:val="000000" w:themeColor="text1"/>
          <w:lang w:eastAsia="fr-FR"/>
        </w:rPr>
        <w:t xml:space="preserve">telle </w:t>
      </w:r>
      <w:r w:rsidR="000E3DEB" w:rsidRPr="000E3DEB">
        <w:rPr>
          <w:rFonts w:eastAsia="Times New Roman" w:cstheme="minorHAnsi"/>
          <w:color w:val="000000" w:themeColor="text1"/>
          <w:lang w:eastAsia="fr-FR"/>
        </w:rPr>
        <w:t xml:space="preserve">distance n’aurait </w:t>
      </w:r>
      <w:r>
        <w:rPr>
          <w:rFonts w:eastAsia="Times New Roman" w:cstheme="minorHAnsi"/>
          <w:color w:val="000000" w:themeColor="text1"/>
          <w:lang w:eastAsia="fr-FR"/>
        </w:rPr>
        <w:t xml:space="preserve">d’ailleurs aucune </w:t>
      </w:r>
      <w:r w:rsidR="000E3DEB" w:rsidRPr="000E3DEB">
        <w:rPr>
          <w:rFonts w:eastAsia="Times New Roman" w:cstheme="minorHAnsi"/>
          <w:color w:val="000000" w:themeColor="text1"/>
          <w:lang w:eastAsia="fr-FR"/>
        </w:rPr>
        <w:t>incidence sur les capacités de développement du canton</w:t>
      </w:r>
      <w:r>
        <w:rPr>
          <w:rFonts w:eastAsia="Times New Roman" w:cstheme="minorHAnsi"/>
          <w:color w:val="000000" w:themeColor="text1"/>
          <w:lang w:eastAsia="fr-FR"/>
        </w:rPr>
        <w:t xml:space="preserve"> a</w:t>
      </w:r>
      <w:r w:rsidRPr="000E3DEB">
        <w:rPr>
          <w:rFonts w:eastAsia="Times New Roman" w:cstheme="minorHAnsi"/>
          <w:color w:val="000000" w:themeColor="text1"/>
          <w:lang w:eastAsia="fr-FR"/>
        </w:rPr>
        <w:t>u vu de la surestimation avérée des besoins en gravier pour les années à venir</w:t>
      </w:r>
      <w:r w:rsidR="000E3DEB" w:rsidRPr="000E3DEB">
        <w:rPr>
          <w:rFonts w:eastAsia="Times New Roman" w:cstheme="minorHAnsi"/>
          <w:color w:val="000000" w:themeColor="text1"/>
          <w:lang w:eastAsia="fr-FR"/>
        </w:rPr>
        <w:t xml:space="preserve">. </w:t>
      </w:r>
      <w:r>
        <w:rPr>
          <w:rFonts w:eastAsia="Times New Roman" w:cstheme="minorHAnsi"/>
          <w:color w:val="000000" w:themeColor="text1"/>
          <w:lang w:eastAsia="fr-FR"/>
        </w:rPr>
        <w:t>A ce propos,</w:t>
      </w:r>
      <w:r w:rsidR="000E3DEB" w:rsidRPr="000E3DEB">
        <w:rPr>
          <w:rFonts w:eastAsia="Times New Roman" w:cstheme="minorHAnsi"/>
          <w:color w:val="000000" w:themeColor="text1"/>
          <w:lang w:eastAsia="fr-FR"/>
        </w:rPr>
        <w:t xml:space="preserve"> l’</w:t>
      </w:r>
      <w:hyperlink r:id="rId8" w:history="1">
        <w:r w:rsidR="000E3DEB" w:rsidRPr="000E3DEB">
          <w:rPr>
            <w:rStyle w:val="Lienhypertexte"/>
            <w:rFonts w:eastAsia="Times New Roman" w:cstheme="minorHAnsi"/>
            <w:lang w:eastAsia="fr-FR"/>
          </w:rPr>
          <w:t>appel du 28 avril 2026 aux entreprises fribourgeoises pour accélérer la construction circulaire</w:t>
        </w:r>
      </w:hyperlink>
      <w:r w:rsidR="000E3DEB" w:rsidRPr="000E3DEB">
        <w:rPr>
          <w:rFonts w:eastAsia="Times New Roman" w:cstheme="minorHAnsi"/>
          <w:color w:val="000000" w:themeColor="text1"/>
          <w:lang w:eastAsia="fr-FR"/>
        </w:rPr>
        <w:t xml:space="preserve"> lancé par la Promotion économique financée par le canton de Fribourg</w:t>
      </w:r>
      <w:r>
        <w:rPr>
          <w:rFonts w:eastAsia="Times New Roman" w:cstheme="minorHAnsi"/>
          <w:color w:val="000000" w:themeColor="text1"/>
          <w:lang w:eastAsia="fr-FR"/>
        </w:rPr>
        <w:t xml:space="preserve"> met encore plus en évidence l’incohérence du Conseil d’Etat</w:t>
      </w:r>
      <w:r w:rsidR="000E3DEB" w:rsidRPr="000E3DEB">
        <w:rPr>
          <w:rFonts w:eastAsia="Times New Roman" w:cstheme="minorHAnsi"/>
          <w:color w:val="000000" w:themeColor="text1"/>
          <w:lang w:eastAsia="fr-FR"/>
        </w:rPr>
        <w:t xml:space="preserve">. </w:t>
      </w:r>
      <w:r>
        <w:rPr>
          <w:rFonts w:eastAsia="Times New Roman" w:cstheme="minorHAnsi"/>
          <w:color w:val="000000" w:themeColor="text1"/>
          <w:lang w:eastAsia="fr-FR"/>
        </w:rPr>
        <w:t>Cet appel à projets</w:t>
      </w:r>
      <w:r w:rsidR="000E3DEB" w:rsidRPr="000E3DEB">
        <w:rPr>
          <w:rFonts w:eastAsia="Times New Roman" w:cstheme="minorHAnsi"/>
          <w:color w:val="000000" w:themeColor="text1"/>
          <w:lang w:eastAsia="fr-FR"/>
        </w:rPr>
        <w:t xml:space="preserve"> démontre que le principe d’une diminution des besoins est déjà acté par les milieux économiques qui s’attellent concrètement à la tâche de construire avec moins de matériaux</w:t>
      </w:r>
      <w:r>
        <w:rPr>
          <w:rFonts w:eastAsia="Times New Roman" w:cstheme="minorHAnsi"/>
          <w:color w:val="000000" w:themeColor="text1"/>
          <w:lang w:eastAsia="fr-FR"/>
        </w:rPr>
        <w:t xml:space="preserve"> dans le respect du plan climatique</w:t>
      </w:r>
      <w:r w:rsidR="002D599D">
        <w:rPr>
          <w:rFonts w:eastAsia="Times New Roman" w:cstheme="minorHAnsi"/>
          <w:color w:val="000000" w:themeColor="text1"/>
          <w:lang w:eastAsia="fr-FR"/>
        </w:rPr>
        <w:t>.</w:t>
      </w:r>
    </w:p>
    <w:p w14:paraId="2B0F12E1" w14:textId="77777777" w:rsidR="002D599D" w:rsidRDefault="0071076E" w:rsidP="002032B8">
      <w:r>
        <w:t xml:space="preserve">La population fribourgeoise est clairement favorable à une gestion prudente </w:t>
      </w:r>
      <w:r w:rsidR="00E14B00">
        <w:t xml:space="preserve">et raisonnée des deniers publics et des ressources naturelles. Elle demande toutefois du Conseil d’Etat qu’il maîtrise ses dossiers et fasse preuve de vision et </w:t>
      </w:r>
      <w:r w:rsidR="002D599D">
        <w:t xml:space="preserve">de </w:t>
      </w:r>
      <w:r w:rsidR="00E14B00">
        <w:t xml:space="preserve">courage politique. </w:t>
      </w:r>
      <w:r w:rsidR="002D599D">
        <w:t xml:space="preserve">Si certains conseillers d’Etat ont perdu leur voix après la victoire magnifique de </w:t>
      </w:r>
      <w:proofErr w:type="spellStart"/>
      <w:r w:rsidR="002D599D">
        <w:t>Gottéron</w:t>
      </w:r>
      <w:proofErr w:type="spellEnd"/>
      <w:r w:rsidR="002D599D">
        <w:t>, ce sont bien les voix des électrices et électeurs que le Conseil d’Etat a perdu avec l</w:t>
      </w:r>
      <w:r w:rsidR="002D599D">
        <w:t>’échec cuisant de la LAFE</w:t>
      </w:r>
      <w:r w:rsidR="002D599D">
        <w:t xml:space="preserve">. </w:t>
      </w:r>
    </w:p>
    <w:p w14:paraId="20B98D75" w14:textId="5DE165E6" w:rsidR="000E3DEB" w:rsidRPr="00E14B00" w:rsidRDefault="002D599D" w:rsidP="002032B8">
      <w:r>
        <w:t>En cette année électorale, l</w:t>
      </w:r>
      <w:r w:rsidR="00E14B00">
        <w:t xml:space="preserve">es citoyennes et citoyens demandent au Grand Conseil qu’il adopte la motion populaire. Non seulement l’inscription d’une distance de principe de 200 m entre zones à bâtir et gravières dans la </w:t>
      </w:r>
      <w:proofErr w:type="spellStart"/>
      <w:r w:rsidR="00E14B00">
        <w:t>LATeC</w:t>
      </w:r>
      <w:proofErr w:type="spellEnd"/>
      <w:r w:rsidR="00E14B00">
        <w:t xml:space="preserve"> permettra de garantir une mise en œuvre plus sereine et harmonieuse du PSEM, mais cela facilitera la tâche du futur </w:t>
      </w:r>
      <w:r w:rsidR="00E14B00" w:rsidRPr="00E14B00">
        <w:t xml:space="preserve">Conseil d’Etat dans la correction des nombreuses </w:t>
      </w:r>
      <w:r w:rsidR="00E14B00" w:rsidRPr="00E14B00">
        <w:t>erreurs qui entachent le projet actuel de planification des gravières.</w:t>
      </w:r>
    </w:p>
    <w:p w14:paraId="3A835F88" w14:textId="77777777" w:rsidR="00E14B00" w:rsidRDefault="00E14B00" w:rsidP="006A4B80"/>
    <w:p w14:paraId="58A01D7F" w14:textId="74595F92" w:rsidR="006A4B80" w:rsidRDefault="00E34E22" w:rsidP="006A4B80">
      <w:r w:rsidRPr="00215416">
        <w:rPr>
          <w:b/>
          <w:bCs/>
        </w:rPr>
        <w:t xml:space="preserve">Plus </w:t>
      </w:r>
      <w:proofErr w:type="gramStart"/>
      <w:r w:rsidRPr="00215416">
        <w:rPr>
          <w:b/>
          <w:bCs/>
        </w:rPr>
        <w:t>d’informations:</w:t>
      </w:r>
      <w:proofErr w:type="gramEnd"/>
      <w:r>
        <w:t xml:space="preserve"> </w:t>
      </w:r>
      <w:r w:rsidR="001039C4">
        <w:t xml:space="preserve">Dominique Sprumont (079 247 74 52) (disponible mardi </w:t>
      </w:r>
      <w:r w:rsidR="00E14B00">
        <w:t>1</w:t>
      </w:r>
      <w:r w:rsidR="001039C4">
        <w:t xml:space="preserve">9 </w:t>
      </w:r>
      <w:r w:rsidR="00E14B00">
        <w:t>mai</w:t>
      </w:r>
      <w:r w:rsidR="001039C4">
        <w:t xml:space="preserve"> à partir de </w:t>
      </w:r>
      <w:r w:rsidR="009F4844">
        <w:t>9h</w:t>
      </w:r>
      <w:r w:rsidR="001039C4">
        <w:t>).</w:t>
      </w:r>
      <w:hyperlink r:id="rId9" w:history="1"/>
    </w:p>
    <w:p w14:paraId="42BABB20" w14:textId="77777777" w:rsidR="001039C4" w:rsidRDefault="001039C4" w:rsidP="006A4B80"/>
    <w:p w14:paraId="7B6741B2" w14:textId="77777777" w:rsidR="00B96308" w:rsidRDefault="00B96308" w:rsidP="006A4B80"/>
    <w:p w14:paraId="77AAB85C" w14:textId="77777777" w:rsidR="00B96308" w:rsidRDefault="00B96308" w:rsidP="006A4B80"/>
    <w:p w14:paraId="7F530B92" w14:textId="77777777" w:rsidR="00B96308" w:rsidRDefault="00B96308" w:rsidP="006A4B80"/>
    <w:p w14:paraId="1DA05D1F" w14:textId="77777777" w:rsidR="00B96308" w:rsidRDefault="00B96308" w:rsidP="006A4B80"/>
    <w:p w14:paraId="10B5E334" w14:textId="77777777" w:rsidR="00B96308" w:rsidRDefault="00B96308" w:rsidP="006A4B80"/>
    <w:p w14:paraId="5D57E22D" w14:textId="77777777" w:rsidR="00B96308" w:rsidRDefault="00B96308" w:rsidP="006A4B80"/>
    <w:p w14:paraId="35EE598F" w14:textId="77777777" w:rsidR="00B96308" w:rsidRDefault="00B96308" w:rsidP="006A4B80"/>
    <w:p w14:paraId="41895F82" w14:textId="77777777" w:rsidR="00B96308" w:rsidRDefault="00B96308" w:rsidP="006A4B80"/>
    <w:p w14:paraId="013D2EF1" w14:textId="77777777" w:rsidR="00B96308" w:rsidRDefault="00B96308" w:rsidP="006A4B80"/>
    <w:p w14:paraId="202180ED" w14:textId="765A5A6B" w:rsidR="005E63E7" w:rsidRDefault="005E63E7" w:rsidP="006A4B80">
      <w:r w:rsidRPr="005E63E7">
        <w:rPr>
          <w:b/>
        </w:rPr>
        <w:t>Annexe</w:t>
      </w:r>
      <w:r>
        <w:t> :</w:t>
      </w:r>
      <w:r w:rsidR="00530A94">
        <w:t xml:space="preserve"> </w:t>
      </w:r>
      <w:r w:rsidR="00B96308" w:rsidRPr="00B96308">
        <w:rPr>
          <w:highlight w:val="yellow"/>
        </w:rPr>
        <w:t>dossier de presse à définir</w:t>
      </w:r>
    </w:p>
    <w:sectPr w:rsidR="005E63E7" w:rsidSect="00B96308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4B935" w14:textId="77777777" w:rsidR="00C40064" w:rsidRDefault="00C40064" w:rsidP="00B96308">
      <w:pPr>
        <w:spacing w:after="0" w:line="240" w:lineRule="auto"/>
      </w:pPr>
      <w:r>
        <w:separator/>
      </w:r>
    </w:p>
  </w:endnote>
  <w:endnote w:type="continuationSeparator" w:id="0">
    <w:p w14:paraId="274F77D8" w14:textId="77777777" w:rsidR="00C40064" w:rsidRDefault="00C40064" w:rsidP="00B9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D7FF" w14:textId="77777777" w:rsidR="00C40064" w:rsidRDefault="00C40064" w:rsidP="00B96308">
      <w:pPr>
        <w:spacing w:after="0" w:line="240" w:lineRule="auto"/>
      </w:pPr>
      <w:r>
        <w:separator/>
      </w:r>
    </w:p>
  </w:footnote>
  <w:footnote w:type="continuationSeparator" w:id="0">
    <w:p w14:paraId="178A7EBC" w14:textId="77777777" w:rsidR="00C40064" w:rsidRDefault="00C40064" w:rsidP="00B96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6663760"/>
      <w:docPartObj>
        <w:docPartGallery w:val="Page Numbers (Top of Page)"/>
        <w:docPartUnique/>
      </w:docPartObj>
    </w:sdtPr>
    <w:sdtContent>
      <w:p w14:paraId="691D9168" w14:textId="7A4778F5" w:rsidR="00B96308" w:rsidRDefault="00B96308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76C6A5C" w14:textId="77777777" w:rsidR="00B96308" w:rsidRDefault="00B963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78D7"/>
    <w:multiLevelType w:val="hybridMultilevel"/>
    <w:tmpl w:val="3BA0D48A"/>
    <w:lvl w:ilvl="0" w:tplc="3B2EDA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0A8B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D80F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185C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E201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6234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4A23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344F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2A3F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094076"/>
    <w:multiLevelType w:val="multilevel"/>
    <w:tmpl w:val="6A0C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813BC7"/>
    <w:multiLevelType w:val="hybridMultilevel"/>
    <w:tmpl w:val="E88E0B88"/>
    <w:lvl w:ilvl="0" w:tplc="C5F033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C49C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F03E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4C14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74F4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0E176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DE0C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460F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B4A5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B885375"/>
    <w:multiLevelType w:val="hybridMultilevel"/>
    <w:tmpl w:val="C8144CAE"/>
    <w:lvl w:ilvl="0" w:tplc="25C8C0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420B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D665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3671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9EEC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58DBA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3A7F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0A4F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309F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BF52AE6"/>
    <w:multiLevelType w:val="hybridMultilevel"/>
    <w:tmpl w:val="049403A6"/>
    <w:lvl w:ilvl="0" w:tplc="10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9326774">
    <w:abstractNumId w:val="0"/>
  </w:num>
  <w:num w:numId="2" w16cid:durableId="602302589">
    <w:abstractNumId w:val="3"/>
  </w:num>
  <w:num w:numId="3" w16cid:durableId="981079789">
    <w:abstractNumId w:val="2"/>
  </w:num>
  <w:num w:numId="4" w16cid:durableId="1750927360">
    <w:abstractNumId w:val="1"/>
  </w:num>
  <w:num w:numId="5" w16cid:durableId="108746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80"/>
    <w:rsid w:val="000E3DEB"/>
    <w:rsid w:val="001039C4"/>
    <w:rsid w:val="001764E3"/>
    <w:rsid w:val="002032B8"/>
    <w:rsid w:val="00283EC1"/>
    <w:rsid w:val="002D599D"/>
    <w:rsid w:val="003554CC"/>
    <w:rsid w:val="003950A8"/>
    <w:rsid w:val="004B1542"/>
    <w:rsid w:val="004B72EE"/>
    <w:rsid w:val="00530A94"/>
    <w:rsid w:val="005E63E7"/>
    <w:rsid w:val="006A4B80"/>
    <w:rsid w:val="0071076E"/>
    <w:rsid w:val="00741A0A"/>
    <w:rsid w:val="009F4844"/>
    <w:rsid w:val="00A0126F"/>
    <w:rsid w:val="00A93951"/>
    <w:rsid w:val="00B14EF8"/>
    <w:rsid w:val="00B37BAB"/>
    <w:rsid w:val="00B96308"/>
    <w:rsid w:val="00BA2BDC"/>
    <w:rsid w:val="00C40064"/>
    <w:rsid w:val="00D138BA"/>
    <w:rsid w:val="00DB3ABB"/>
    <w:rsid w:val="00DC41F9"/>
    <w:rsid w:val="00E14B00"/>
    <w:rsid w:val="00E34E22"/>
    <w:rsid w:val="00E72D20"/>
    <w:rsid w:val="00FA6159"/>
    <w:rsid w:val="00FE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ED87"/>
  <w15:chartTrackingRefBased/>
  <w15:docId w15:val="{78C9D592-9AC2-4EFA-B2EC-2ECBBE4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4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Paragraphedeliste">
    <w:name w:val="List Paragraph"/>
    <w:basedOn w:val="Normal"/>
    <w:uiPriority w:val="34"/>
    <w:qFormat/>
    <w:rsid w:val="00E34E2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34E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4E2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1076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96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6308"/>
  </w:style>
  <w:style w:type="paragraph" w:styleId="Pieddepage">
    <w:name w:val="footer"/>
    <w:basedOn w:val="Normal"/>
    <w:link w:val="PieddepageCar"/>
    <w:uiPriority w:val="99"/>
    <w:unhideWhenUsed/>
    <w:rsid w:val="00B96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435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888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059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1329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062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937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5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mfr.ch/2026/04/28/npr-un-appel-aux-entreprises-fribourgeoises-pour-accelerer-la-construction-circulai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fr.ch/?webmap=https://maps.fr.ch/_maps_services/sharemap/%3Fid%3D583314b7-d2f6-45f4-9ec5-fd5cba1ab25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drive.infomaniak.com/app/share/1511768/394d8eb2-8878-463f-94b8-825d07b5832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1003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SPRUMONT Dominique</dc:creator>
  <cp:keywords/>
  <dc:description/>
  <cp:lastModifiedBy>SPRUMONT Dominique</cp:lastModifiedBy>
  <cp:revision>2</cp:revision>
  <dcterms:created xsi:type="dcterms:W3CDTF">2026-05-10T19:36:00Z</dcterms:created>
  <dcterms:modified xsi:type="dcterms:W3CDTF">2026-05-10T19:36:00Z</dcterms:modified>
</cp:coreProperties>
</file>